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1069" w:rsidRPr="006A3781" w:rsidRDefault="00471021" w:rsidP="006A3781">
      <w:pPr>
        <w:jc w:val="center"/>
        <w:rPr>
          <w:b/>
          <w:sz w:val="28"/>
          <w:szCs w:val="28"/>
        </w:rPr>
      </w:pPr>
      <w:r w:rsidRPr="006A3781">
        <w:rPr>
          <w:b/>
          <w:sz w:val="28"/>
          <w:szCs w:val="28"/>
        </w:rPr>
        <w:t>Sequestro Internacional de Crianças</w:t>
      </w:r>
    </w:p>
    <w:p w:rsidR="00E83C52" w:rsidRDefault="00E83C52"/>
    <w:p w:rsidR="006A3781" w:rsidRPr="00E9763F" w:rsidRDefault="00E83C52" w:rsidP="006A3781">
      <w:pPr>
        <w:pStyle w:val="textojustificadorecuoprimeiralinha"/>
        <w:spacing w:before="120" w:beforeAutospacing="0" w:after="120" w:afterAutospacing="0"/>
        <w:ind w:left="120" w:right="120" w:firstLine="1699"/>
        <w:jc w:val="both"/>
        <w:rPr>
          <w:color w:val="000000" w:themeColor="text1"/>
        </w:rPr>
      </w:pPr>
      <w:r w:rsidRPr="00E9763F">
        <w:rPr>
          <w:color w:val="000000" w:themeColor="text1"/>
        </w:rPr>
        <w:t>O conceito de subtração internac</w:t>
      </w:r>
      <w:r w:rsidR="00927CB6">
        <w:rPr>
          <w:color w:val="000000" w:themeColor="text1"/>
        </w:rPr>
        <w:t xml:space="preserve">ional de crianças está presente </w:t>
      </w:r>
      <w:bookmarkStart w:id="0" w:name="_GoBack"/>
      <w:bookmarkEnd w:id="0"/>
      <w:r w:rsidRPr="00E9763F">
        <w:rPr>
          <w:color w:val="000000" w:themeColor="text1"/>
        </w:rPr>
        <w:t>na Convenção de Haia de 1980 sobre os Aspectos Civis do Sequestro Internacional de Crianças e na Convenção Interamericana sobre a Restituição Internacional de Menores, tais convenções objetivam principalmente assegurar o retorno imediato de crianças ilicitamente transferidas para qualquer Estado Contratante ou nele retidas indevidamente e proteger o bem-estar das crianças que vivem em situação de ruptura familiar e que foram deslocados de forma abrupta de seu país de residência habitual ou que estejam sendo retidas sem autorização de um dos pais em outro país.</w:t>
      </w:r>
    </w:p>
    <w:p w:rsidR="006A3781" w:rsidRPr="00E9763F" w:rsidRDefault="00E83C52" w:rsidP="006A3781">
      <w:pPr>
        <w:pStyle w:val="textojustificadorecuoprimeiralinha"/>
        <w:spacing w:before="120" w:beforeAutospacing="0" w:after="120" w:afterAutospacing="0"/>
        <w:ind w:left="120" w:right="120" w:firstLine="1699"/>
        <w:jc w:val="both"/>
        <w:rPr>
          <w:color w:val="000000" w:themeColor="text1"/>
        </w:rPr>
      </w:pPr>
      <w:r w:rsidRPr="00E9763F">
        <w:rPr>
          <w:color w:val="000000" w:themeColor="text1"/>
        </w:rPr>
        <w:t>O sequestro internacional de crianças (ou subtração internacional), é o ato de transferir uma criança ilicitamente de um país para outro sem o consentimento de um dos genitores (pai ou mãe). Também é considerado ilegal reter uma criança em um país sem o consentimento do outro genitor após um período de férias, por exemplo. Isso ocorre mesmo que o pai/mãe tenha autorizado o período de férias.</w:t>
      </w:r>
    </w:p>
    <w:p w:rsidR="006A3781" w:rsidRPr="00E9763F" w:rsidRDefault="006A3781" w:rsidP="006A3781">
      <w:pPr>
        <w:pStyle w:val="textojustificadorecuoprimeiralinha"/>
        <w:spacing w:before="120" w:beforeAutospacing="0" w:after="120" w:afterAutospacing="0"/>
        <w:ind w:left="120" w:right="120" w:firstLine="1699"/>
        <w:jc w:val="both"/>
        <w:rPr>
          <w:color w:val="000000" w:themeColor="text1"/>
        </w:rPr>
      </w:pPr>
      <w:r w:rsidRPr="00E9763F">
        <w:rPr>
          <w:color w:val="000000" w:themeColor="text1"/>
        </w:rPr>
        <w:t xml:space="preserve">Em vários países, há um órgão responsável para lidar com esses casos. Este órgão é chamado de Autoridade Central. No Brasil, temos a Autoridade Central Administrativa Federal (ACAF) que é a autoridade responsável por receber e enviar pedidos de cooperação jurídica internacional para retorno ou exercício de direito de visitas. </w:t>
      </w:r>
    </w:p>
    <w:p w:rsidR="006A3781" w:rsidRPr="00E9763F" w:rsidRDefault="006A3781" w:rsidP="006A3781">
      <w:pPr>
        <w:pStyle w:val="textojustificadorecuoprimeiralinha"/>
        <w:spacing w:before="120" w:beforeAutospacing="0" w:after="120" w:afterAutospacing="0"/>
        <w:ind w:left="120" w:right="120" w:firstLine="1699"/>
        <w:jc w:val="both"/>
        <w:rPr>
          <w:color w:val="000000" w:themeColor="text1"/>
        </w:rPr>
      </w:pPr>
      <w:r w:rsidRPr="00E9763F">
        <w:rPr>
          <w:color w:val="000000" w:themeColor="text1"/>
        </w:rPr>
        <w:t>Ao receber pedidos de Autoridades Centrais estrangeiras, a ACAF atua em conjunto com a Interpol e a Advocacia-Geral da União para garantir o retorno seguro da criança ao seu país de residência habitual ou para restabelecer o contato entre a criança e o pai/mãe impedido de exercer o direito de visitas.</w:t>
      </w:r>
    </w:p>
    <w:p w:rsidR="006A3781" w:rsidRPr="00E9763F" w:rsidRDefault="006A3781" w:rsidP="006A3781">
      <w:pPr>
        <w:pStyle w:val="textojustificadorecuoprimeiralinha"/>
        <w:spacing w:before="120" w:beforeAutospacing="0" w:after="120" w:afterAutospacing="0"/>
        <w:ind w:left="120" w:right="120" w:firstLine="1699"/>
        <w:jc w:val="both"/>
        <w:rPr>
          <w:color w:val="000000" w:themeColor="text1"/>
        </w:rPr>
      </w:pPr>
      <w:r w:rsidRPr="00E9763F">
        <w:rPr>
          <w:color w:val="000000" w:themeColor="text1"/>
        </w:rPr>
        <w:t>Caso necessite acionar a Autoridade Central, preencha o </w:t>
      </w:r>
      <w:r w:rsidRPr="00E9763F">
        <w:rPr>
          <w:color w:val="000000" w:themeColor="text1"/>
        </w:rPr>
        <w:t xml:space="preserve">formulário de requerimento (DOC 1) e envie </w:t>
      </w:r>
      <w:r w:rsidR="00E9763F" w:rsidRPr="00E9763F">
        <w:rPr>
          <w:color w:val="000000" w:themeColor="text1"/>
        </w:rPr>
        <w:t xml:space="preserve">o pedido </w:t>
      </w:r>
      <w:r w:rsidRPr="00E9763F">
        <w:rPr>
          <w:color w:val="000000" w:themeColor="text1"/>
        </w:rPr>
        <w:t xml:space="preserve">para o e-mail </w:t>
      </w:r>
      <w:hyperlink r:id="rId5" w:history="1">
        <w:r w:rsidRPr="00E9763F">
          <w:rPr>
            <w:rStyle w:val="Hyperlink"/>
            <w:color w:val="000000" w:themeColor="text1"/>
          </w:rPr>
          <w:t>caji@dpu.def.br</w:t>
        </w:r>
      </w:hyperlink>
      <w:r w:rsidRPr="00E9763F">
        <w:rPr>
          <w:color w:val="000000" w:themeColor="text1"/>
        </w:rPr>
        <w:t>, juntamente</w:t>
      </w:r>
      <w:r w:rsidRPr="00E9763F">
        <w:rPr>
          <w:color w:val="000000" w:themeColor="text1"/>
        </w:rPr>
        <w:t xml:space="preserve"> com a documentação necessária</w:t>
      </w:r>
      <w:r w:rsidRPr="00E9763F">
        <w:rPr>
          <w:color w:val="000000" w:themeColor="text1"/>
        </w:rPr>
        <w:t>:</w:t>
      </w:r>
    </w:p>
    <w:p w:rsidR="006A3781" w:rsidRPr="00E9763F" w:rsidRDefault="006A3781" w:rsidP="006A3781">
      <w:pPr>
        <w:pStyle w:val="textojustificadorecuoprimeiralinha"/>
        <w:spacing w:before="120" w:beforeAutospacing="0" w:after="120" w:afterAutospacing="0"/>
        <w:ind w:left="120" w:right="120" w:firstLine="1699"/>
        <w:jc w:val="both"/>
        <w:rPr>
          <w:color w:val="000000" w:themeColor="text1"/>
        </w:rPr>
      </w:pPr>
    </w:p>
    <w:p w:rsidR="00E9763F" w:rsidRPr="00E9763F" w:rsidRDefault="00E9763F" w:rsidP="00E9763F">
      <w:pPr>
        <w:pStyle w:val="NormalWeb"/>
        <w:spacing w:before="0" w:beforeAutospacing="0" w:after="150" w:afterAutospacing="0" w:line="276" w:lineRule="auto"/>
        <w:ind w:left="1425"/>
        <w:rPr>
          <w:color w:val="000000" w:themeColor="text1"/>
        </w:rPr>
      </w:pPr>
      <w:r w:rsidRPr="00E9763F">
        <w:rPr>
          <w:color w:val="000000" w:themeColor="text1"/>
        </w:rPr>
        <w:t>1)</w:t>
      </w:r>
      <w:r w:rsidR="006A3781" w:rsidRPr="00E9763F">
        <w:rPr>
          <w:color w:val="000000" w:themeColor="text1"/>
        </w:rPr>
        <w:t>certidão de nascimento da criança;</w:t>
      </w:r>
      <w:r w:rsidRPr="00E9763F">
        <w:rPr>
          <w:color w:val="000000" w:themeColor="text1"/>
        </w:rPr>
        <w:br/>
        <w:t>2</w:t>
      </w:r>
      <w:r w:rsidR="006A3781" w:rsidRPr="00E9763F">
        <w:rPr>
          <w:color w:val="000000" w:themeColor="text1"/>
        </w:rPr>
        <w:t>) cópia de sentença de guarda, se houver;</w:t>
      </w:r>
      <w:r w:rsidRPr="00E9763F">
        <w:rPr>
          <w:color w:val="000000" w:themeColor="text1"/>
        </w:rPr>
        <w:br/>
        <w:t>3</w:t>
      </w:r>
      <w:r w:rsidR="006A3781" w:rsidRPr="00E9763F">
        <w:rPr>
          <w:color w:val="000000" w:themeColor="text1"/>
        </w:rPr>
        <w:t>) cópia da sentença de divórcio, se houver;</w:t>
      </w:r>
      <w:r w:rsidRPr="00E9763F">
        <w:rPr>
          <w:color w:val="000000" w:themeColor="text1"/>
        </w:rPr>
        <w:br/>
        <w:t>4</w:t>
      </w:r>
      <w:r w:rsidR="006A3781" w:rsidRPr="00E9763F">
        <w:rPr>
          <w:color w:val="000000" w:themeColor="text1"/>
        </w:rPr>
        <w:t>) cópia de comprovante de união estável ou casamento;</w:t>
      </w:r>
      <w:r w:rsidRPr="00E9763F">
        <w:rPr>
          <w:color w:val="000000" w:themeColor="text1"/>
        </w:rPr>
        <w:br/>
        <w:t>5</w:t>
      </w:r>
      <w:r w:rsidR="006A3781" w:rsidRPr="00E9763F">
        <w:rPr>
          <w:color w:val="000000" w:themeColor="text1"/>
        </w:rPr>
        <w:t>) cópia de decisões judiciais anteriores ou posteriores à transferência ilícita;</w:t>
      </w:r>
      <w:r w:rsidRPr="00E9763F">
        <w:rPr>
          <w:color w:val="000000" w:themeColor="text1"/>
        </w:rPr>
        <w:br/>
        <w:t>6</w:t>
      </w:r>
      <w:r w:rsidR="006A3781" w:rsidRPr="00E9763F">
        <w:rPr>
          <w:color w:val="000000" w:themeColor="text1"/>
        </w:rPr>
        <w:t>) foto da criança e da pessoa que supostamente a subtraiu</w:t>
      </w:r>
      <w:r w:rsidRPr="00E9763F">
        <w:rPr>
          <w:color w:val="000000" w:themeColor="text1"/>
        </w:rPr>
        <w:t>;</w:t>
      </w:r>
    </w:p>
    <w:p w:rsidR="006A3781" w:rsidRPr="00E9763F" w:rsidRDefault="00E9763F" w:rsidP="00E9763F">
      <w:pPr>
        <w:pStyle w:val="NormalWeb"/>
        <w:spacing w:before="0" w:beforeAutospacing="0" w:after="150" w:afterAutospacing="0" w:line="276" w:lineRule="auto"/>
        <w:ind w:left="1425"/>
        <w:rPr>
          <w:color w:val="000000" w:themeColor="text1"/>
        </w:rPr>
      </w:pPr>
      <w:r w:rsidRPr="00E9763F">
        <w:rPr>
          <w:color w:val="000000" w:themeColor="text1"/>
        </w:rPr>
        <w:t>7) Comprovante de renda;</w:t>
      </w:r>
      <w:r w:rsidRPr="00E9763F">
        <w:rPr>
          <w:color w:val="000000" w:themeColor="text1"/>
        </w:rPr>
        <w:br/>
        <w:t>8</w:t>
      </w:r>
      <w:r w:rsidR="006A3781" w:rsidRPr="00E9763F">
        <w:rPr>
          <w:color w:val="000000" w:themeColor="text1"/>
        </w:rPr>
        <w:t>) </w:t>
      </w:r>
      <w:hyperlink r:id="rId6" w:tgtFrame="_blank" w:history="1">
        <w:r w:rsidR="006A3781" w:rsidRPr="00E9763F">
          <w:rPr>
            <w:rStyle w:val="Hyperlink"/>
            <w:color w:val="000000" w:themeColor="text1"/>
          </w:rPr>
          <w:t>Declaração de hipossuficiência Econômica </w:t>
        </w:r>
      </w:hyperlink>
      <w:r w:rsidRPr="00E9763F">
        <w:rPr>
          <w:color w:val="000000" w:themeColor="text1"/>
        </w:rPr>
        <w:t xml:space="preserve"> (DOC 2)</w:t>
      </w:r>
      <w:r w:rsidRPr="00E9763F">
        <w:rPr>
          <w:color w:val="000000" w:themeColor="text1"/>
        </w:rPr>
        <w:br/>
        <w:t>9</w:t>
      </w:r>
      <w:r w:rsidR="006A3781" w:rsidRPr="00E9763F">
        <w:rPr>
          <w:color w:val="000000" w:themeColor="text1"/>
        </w:rPr>
        <w:t>) </w:t>
      </w:r>
      <w:hyperlink r:id="rId7" w:tgtFrame="_blank" w:history="1">
        <w:r w:rsidR="006A3781" w:rsidRPr="00E9763F">
          <w:rPr>
            <w:rStyle w:val="Hyperlink"/>
            <w:color w:val="000000" w:themeColor="text1"/>
          </w:rPr>
          <w:t>Autorização de Quebra de Sigilo e Outorga de Poderes </w:t>
        </w:r>
      </w:hyperlink>
      <w:r w:rsidRPr="00E9763F">
        <w:rPr>
          <w:color w:val="000000" w:themeColor="text1"/>
        </w:rPr>
        <w:t xml:space="preserve"> (DOC 3)</w:t>
      </w:r>
    </w:p>
    <w:p w:rsidR="006A3781" w:rsidRPr="00E9763F" w:rsidRDefault="006A3781" w:rsidP="006A3781">
      <w:pPr>
        <w:pStyle w:val="textojustificadorecuoprimeiralinha"/>
        <w:spacing w:before="120" w:beforeAutospacing="0" w:after="120" w:afterAutospacing="0"/>
        <w:ind w:left="120" w:right="120" w:firstLine="1699"/>
        <w:jc w:val="both"/>
        <w:rPr>
          <w:color w:val="000000" w:themeColor="text1"/>
          <w:sz w:val="27"/>
          <w:szCs w:val="27"/>
        </w:rPr>
      </w:pPr>
      <w:r w:rsidRPr="00E9763F">
        <w:rPr>
          <w:color w:val="000000" w:themeColor="text1"/>
          <w:sz w:val="27"/>
          <w:szCs w:val="27"/>
        </w:rPr>
        <w:t> </w:t>
      </w:r>
    </w:p>
    <w:p w:rsidR="006A3781" w:rsidRPr="00E9763F" w:rsidRDefault="006A3781" w:rsidP="00E9763F">
      <w:pPr>
        <w:pStyle w:val="textojustificadorecuoprimeiralinha"/>
        <w:spacing w:before="120" w:beforeAutospacing="0" w:after="120" w:afterAutospacing="0"/>
        <w:ind w:left="120" w:right="120" w:firstLine="1699"/>
        <w:jc w:val="both"/>
        <w:rPr>
          <w:color w:val="000000" w:themeColor="text1"/>
          <w:sz w:val="27"/>
          <w:szCs w:val="27"/>
        </w:rPr>
      </w:pPr>
      <w:r w:rsidRPr="00E9763F">
        <w:rPr>
          <w:color w:val="000000" w:themeColor="text1"/>
          <w:sz w:val="27"/>
          <w:szCs w:val="27"/>
        </w:rPr>
        <w:t> </w:t>
      </w:r>
    </w:p>
    <w:sectPr w:rsidR="006A3781" w:rsidRPr="00E9763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C56688"/>
    <w:multiLevelType w:val="hybridMultilevel"/>
    <w:tmpl w:val="5308B1D6"/>
    <w:lvl w:ilvl="0" w:tplc="84AEAC74">
      <w:start w:val="1"/>
      <w:numFmt w:val="decimal"/>
      <w:lvlText w:val="%1)"/>
      <w:lvlJc w:val="left"/>
      <w:pPr>
        <w:ind w:left="1425" w:hanging="120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05" w:hanging="360"/>
      </w:pPr>
    </w:lvl>
    <w:lvl w:ilvl="2" w:tplc="0416001B" w:tentative="1">
      <w:start w:val="1"/>
      <w:numFmt w:val="lowerRoman"/>
      <w:lvlText w:val="%3."/>
      <w:lvlJc w:val="right"/>
      <w:pPr>
        <w:ind w:left="2025" w:hanging="180"/>
      </w:pPr>
    </w:lvl>
    <w:lvl w:ilvl="3" w:tplc="0416000F" w:tentative="1">
      <w:start w:val="1"/>
      <w:numFmt w:val="decimal"/>
      <w:lvlText w:val="%4."/>
      <w:lvlJc w:val="left"/>
      <w:pPr>
        <w:ind w:left="2745" w:hanging="360"/>
      </w:pPr>
    </w:lvl>
    <w:lvl w:ilvl="4" w:tplc="04160019" w:tentative="1">
      <w:start w:val="1"/>
      <w:numFmt w:val="lowerLetter"/>
      <w:lvlText w:val="%5."/>
      <w:lvlJc w:val="left"/>
      <w:pPr>
        <w:ind w:left="3465" w:hanging="360"/>
      </w:pPr>
    </w:lvl>
    <w:lvl w:ilvl="5" w:tplc="0416001B" w:tentative="1">
      <w:start w:val="1"/>
      <w:numFmt w:val="lowerRoman"/>
      <w:lvlText w:val="%6."/>
      <w:lvlJc w:val="right"/>
      <w:pPr>
        <w:ind w:left="4185" w:hanging="180"/>
      </w:pPr>
    </w:lvl>
    <w:lvl w:ilvl="6" w:tplc="0416000F" w:tentative="1">
      <w:start w:val="1"/>
      <w:numFmt w:val="decimal"/>
      <w:lvlText w:val="%7."/>
      <w:lvlJc w:val="left"/>
      <w:pPr>
        <w:ind w:left="4905" w:hanging="360"/>
      </w:pPr>
    </w:lvl>
    <w:lvl w:ilvl="7" w:tplc="04160019" w:tentative="1">
      <w:start w:val="1"/>
      <w:numFmt w:val="lowerLetter"/>
      <w:lvlText w:val="%8."/>
      <w:lvlJc w:val="left"/>
      <w:pPr>
        <w:ind w:left="5625" w:hanging="360"/>
      </w:pPr>
    </w:lvl>
    <w:lvl w:ilvl="8" w:tplc="0416001B" w:tentative="1">
      <w:start w:val="1"/>
      <w:numFmt w:val="lowerRoman"/>
      <w:lvlText w:val="%9."/>
      <w:lvlJc w:val="right"/>
      <w:pPr>
        <w:ind w:left="634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021"/>
    <w:rsid w:val="00471021"/>
    <w:rsid w:val="006A3781"/>
    <w:rsid w:val="00761069"/>
    <w:rsid w:val="00927CB6"/>
    <w:rsid w:val="00E83C52"/>
    <w:rsid w:val="00E97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BB502"/>
  <w15:chartTrackingRefBased/>
  <w15:docId w15:val="{CC41C939-C5E1-47EC-9248-75B49680B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justificadorecuoprimeiralinha">
    <w:name w:val="texto_justificado_recuo_primeira_linha"/>
    <w:basedOn w:val="Normal"/>
    <w:rsid w:val="00E83C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6A378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A3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752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7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dpu.def.br/images/stories/internacional/autorizacao-de-quebra-de-sigilo-e-outorga-de-podere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dpu.def.br/images/stories/internacional/declaracao-de-hipossuficiencia-economica.pdf" TargetMode="External"/><Relationship Id="rId5" Type="http://schemas.openxmlformats.org/officeDocument/2006/relationships/hyperlink" Target="mailto:caji@dpu.def.b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413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 Roberto Albuquerque Roque</dc:creator>
  <cp:keywords/>
  <dc:description/>
  <cp:lastModifiedBy>Igor Roberto Albuquerque Roque</cp:lastModifiedBy>
  <cp:revision>1</cp:revision>
  <dcterms:created xsi:type="dcterms:W3CDTF">2021-05-10T13:33:00Z</dcterms:created>
  <dcterms:modified xsi:type="dcterms:W3CDTF">2021-05-10T14:56:00Z</dcterms:modified>
</cp:coreProperties>
</file>